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0" w:rsidRDefault="003A6CFE">
      <w:pPr>
        <w:rPr>
          <w:rFonts w:ascii="Times New Roman" w:hAnsi="Times New Roman" w:cs="Times New Roman"/>
          <w:b/>
          <w:sz w:val="28"/>
          <w:szCs w:val="28"/>
        </w:rPr>
      </w:pPr>
      <w:r w:rsidRPr="003A6CFE">
        <w:rPr>
          <w:rFonts w:ascii="Times New Roman" w:hAnsi="Times New Roman" w:cs="Times New Roman"/>
          <w:b/>
          <w:sz w:val="28"/>
          <w:szCs w:val="28"/>
        </w:rPr>
        <w:t xml:space="preserve">Reading Guide for Bog Queen and </w:t>
      </w:r>
      <w:proofErr w:type="gramStart"/>
      <w:r w:rsidRPr="003A6CFE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3A6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CFE">
        <w:rPr>
          <w:rFonts w:ascii="Times New Roman" w:hAnsi="Times New Roman" w:cs="Times New Roman"/>
          <w:b/>
          <w:sz w:val="28"/>
          <w:szCs w:val="28"/>
        </w:rPr>
        <w:t>Tollund</w:t>
      </w:r>
      <w:proofErr w:type="spellEnd"/>
      <w:r w:rsidRPr="003A6CFE">
        <w:rPr>
          <w:rFonts w:ascii="Times New Roman" w:hAnsi="Times New Roman" w:cs="Times New Roman"/>
          <w:b/>
          <w:sz w:val="28"/>
          <w:szCs w:val="28"/>
        </w:rPr>
        <w:t xml:space="preserve"> Man</w:t>
      </w:r>
    </w:p>
    <w:p w:rsidR="003A6CFE" w:rsidRDefault="003A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close reading of both of these poems like we did in class:</w:t>
      </w:r>
    </w:p>
    <w:p w:rsidR="003A6CFE" w:rsidRDefault="003A6CFE">
      <w:pPr>
        <w:rPr>
          <w:rFonts w:ascii="Times New Roman" w:hAnsi="Times New Roman" w:cs="Times New Roman"/>
          <w:sz w:val="24"/>
          <w:szCs w:val="24"/>
        </w:rPr>
      </w:pPr>
    </w:p>
    <w:p w:rsidR="003A6CFE" w:rsidRPr="003A6CFE" w:rsidRDefault="003A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Reread for archaisms (old English words). Find the definition and origin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words</w:t>
      </w:r>
    </w:p>
    <w:p w:rsidR="003A6CFE" w:rsidRDefault="003A6C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coomb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9266"/>
      </w:tblGrid>
      <w:tr w:rsidR="003A6CFE" w:rsidRPr="003A6CFE" w:rsidTr="003A6CFE">
        <w:tc>
          <w:tcPr>
            <w:tcW w:w="0" w:type="auto"/>
            <w:gridSpan w:val="2"/>
            <w:hideMark/>
          </w:tcPr>
          <w:p w:rsidR="003A6CFE" w:rsidRPr="003A6CFE" w:rsidRDefault="003A6CFE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A6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A6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n</w:t>
            </w:r>
          </w:p>
        </w:tc>
      </w:tr>
      <w:tr w:rsidR="003A6CFE" w:rsidRPr="003A6CFE" w:rsidTr="003A6CFE">
        <w:tc>
          <w:tcPr>
            <w:tcW w:w="50" w:type="pct"/>
            <w:hideMark/>
          </w:tcPr>
          <w:p w:rsidR="003A6CFE" w:rsidRPr="003A6CFE" w:rsidRDefault="003A6CFE" w:rsidP="003A6CFE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6CFE" w:rsidRPr="003A6CFE" w:rsidRDefault="003A6CFE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A6CF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dialect chiefly </w:t>
            </w:r>
            <w:r w:rsidRPr="003A6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 </w:t>
            </w:r>
            <w:r w:rsidRPr="003A6CF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Scot </w:t>
            </w:r>
            <w:r w:rsidRPr="003A6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), ( </w:t>
            </w:r>
            <w:r w:rsidRPr="003A6CFE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Northern English </w:t>
            </w:r>
            <w:r w:rsidRPr="003A6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 waste material,such as dust from coal, grease from axles, </w:t>
            </w:r>
            <w:proofErr w:type="spellStart"/>
            <w:r w:rsidRPr="003A6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etc</w:t>
            </w:r>
            <w:proofErr w:type="spellEnd"/>
          </w:p>
          <w:p w:rsidR="003A6CFE" w:rsidRPr="003A6CFE" w:rsidRDefault="003A6CFE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3A6CFE" w:rsidRDefault="003A6CFE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 Reread</w:t>
            </w:r>
            <w:r w:rsidR="00B26766" w:rsidRPr="00B2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for Kennings, metaphors or kenning-metaphors!</w:t>
            </w:r>
            <w:r w:rsidR="00B2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Find at least </w:t>
            </w:r>
            <w:r w:rsidR="00B26766" w:rsidRPr="00B267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  <w:r w:rsidR="00B2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examples and explain the significance of each one to the meaning of the poem</w:t>
            </w:r>
          </w:p>
          <w:p w:rsidR="00B26766" w:rsidRDefault="00B2676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6766" w:rsidRDefault="00B2676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3/ Reread for alliteration and assonance. Find at least </w:t>
            </w:r>
            <w:r w:rsidRPr="00B267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examples.</w:t>
            </w:r>
          </w:p>
          <w:p w:rsidR="00B26766" w:rsidRDefault="00B2676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6766" w:rsidRDefault="00B2676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4/ Consider the following themes: landscape and memory</w:t>
            </w:r>
            <w:r w:rsidRPr="001C4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="001C4516" w:rsidRPr="001C45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Write a paragraph for each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1C4516" w:rsidRDefault="001C451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6766" w:rsidRDefault="001C451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 Explain</w:t>
            </w:r>
            <w:r w:rsidR="00B2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how Seamus Heaney has reconstructed history, in a physical way through words and literary convention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being specific about which one it is. (Remember Beowulf was written in two main litera</w:t>
            </w:r>
            <w:r w:rsidR="0041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ry traditions: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Homeric epic; German alliterative tradition</w:t>
            </w:r>
            <w:r w:rsidR="0041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Which literary tradi</w:t>
            </w:r>
            <w:bookmarkStart w:id="0" w:name="_GoBack"/>
            <w:bookmarkEnd w:id="0"/>
            <w:r w:rsidR="0041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tion are these?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  <w:r w:rsidR="00B2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C4516" w:rsidRDefault="001C451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6766" w:rsidRDefault="00B2676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 Explain 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how Seamus Heaney has reconstructed history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in an imaginative way. What is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 nature of each archeological dig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? Does he make reference to other human remains (The </w:t>
            </w:r>
            <w:proofErr w:type="spellStart"/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Tollund</w:t>
            </w:r>
            <w:proofErr w:type="spellEnd"/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Man) 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ow 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eaney treat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the following: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death;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ancient burial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modern man’s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fasci</w:t>
            </w:r>
            <w:r w:rsidR="001C4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nation with it;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the landscape, which preserves and owns history</w:t>
            </w:r>
          </w:p>
          <w:p w:rsidR="00B26766" w:rsidRPr="00B26766" w:rsidRDefault="00B26766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A6CFE" w:rsidRPr="00B26766" w:rsidRDefault="003A6CFE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A6CFE" w:rsidRPr="003A6CFE" w:rsidRDefault="003A6CFE" w:rsidP="003A6C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3A6CFE" w:rsidRPr="003A6CFE" w:rsidRDefault="003A6CFE">
      <w:pPr>
        <w:rPr>
          <w:rFonts w:ascii="Times New Roman" w:hAnsi="Times New Roman" w:cs="Times New Roman"/>
          <w:sz w:val="24"/>
          <w:szCs w:val="24"/>
        </w:rPr>
      </w:pPr>
    </w:p>
    <w:sectPr w:rsidR="003A6CFE" w:rsidRPr="003A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E"/>
    <w:rsid w:val="001C4516"/>
    <w:rsid w:val="003A6CFE"/>
    <w:rsid w:val="00415F80"/>
    <w:rsid w:val="00533B10"/>
    <w:rsid w:val="00B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1</cp:revision>
  <dcterms:created xsi:type="dcterms:W3CDTF">2011-09-08T18:09:00Z</dcterms:created>
  <dcterms:modified xsi:type="dcterms:W3CDTF">2011-09-08T19:13:00Z</dcterms:modified>
</cp:coreProperties>
</file>